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предоставлен </w:t>
      </w:r>
      <w:hyperlink r:id="rId5" w:history="1">
        <w:proofErr w:type="spellStart"/>
        <w:r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>
        <w:rPr>
          <w:rFonts w:ascii="Times New Roman" w:hAnsi="Times New Roman" w:cs="Times New Roman"/>
        </w:rPr>
        <w:br/>
      </w:r>
    </w:p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ФЕДЕРАЛЬНАЯ НАЛОГОВАЯ СЛУЖБА</w:t>
      </w:r>
    </w:p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12 мая 2014 г. N ЕД-4-2/8934</w:t>
      </w:r>
    </w:p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ПРИМЕНЕНИИ</w:t>
      </w:r>
    </w:p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КОНТРОЛЬНО-КАССОВОЙ ТЕХНИКИ КРЕДИТНЫМИ ОРГАНИЗАЦИЯМИ</w:t>
      </w:r>
    </w:p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(с изм., </w:t>
      </w:r>
      <w:proofErr w:type="gramStart"/>
      <w:r>
        <w:rPr>
          <w:rFonts w:ascii="Calibri" w:hAnsi="Calibri" w:cs="Calibri"/>
        </w:rPr>
        <w:t>внесенными</w:t>
      </w:r>
      <w:proofErr w:type="gramEnd"/>
      <w:r>
        <w:rPr>
          <w:rFonts w:ascii="Calibri" w:hAnsi="Calibri" w:cs="Calibri"/>
        </w:rPr>
        <w:t xml:space="preserve"> </w:t>
      </w:r>
      <w:hyperlink r:id="rId6" w:history="1">
        <w:r>
          <w:rPr>
            <w:rFonts w:ascii="Calibri" w:hAnsi="Calibri" w:cs="Calibri"/>
            <w:color w:val="0000FF"/>
          </w:rPr>
          <w:t>письмом</w:t>
        </w:r>
      </w:hyperlink>
      <w:r>
        <w:rPr>
          <w:rFonts w:ascii="Calibri" w:hAnsi="Calibri" w:cs="Calibri"/>
        </w:rPr>
        <w:t xml:space="preserve"> ФНС России от 10.10.2014 N ЕД-4-2/20822)</w:t>
      </w:r>
    </w:p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Федеральная налоговая служба в связи с вступлением в силу с 09.05.2014 Федерального </w:t>
      </w:r>
      <w:hyperlink r:id="rId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07.05.2013 N 89-ФЗ "О внесении изменений в Федеральный закон "О применении контрольно-кассовой техники при осуществлении наличных денежных расчетов и (или) расчетов с использованием платежных карт" в части уточнения обязанностей кредитных организаций" (далее - Федеральный закон N 89-ФЗ), которым внесены изменения в Федеральный </w:t>
      </w:r>
      <w:hyperlink r:id="rId8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22.05.2003 N 54-ФЗ</w:t>
      </w:r>
      <w:proofErr w:type="gramEnd"/>
      <w:r>
        <w:rPr>
          <w:rFonts w:ascii="Calibri" w:hAnsi="Calibri" w:cs="Calibri"/>
        </w:rPr>
        <w:t xml:space="preserve"> "О применении контрольно-кассовой техники при осуществлении наличных денежных расчетов и (или) расчетов с использованием платежных карт" (далее - Федеральный закон N 54-ФЗ), сообщает следующее.</w:t>
      </w:r>
    </w:p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Согласно </w:t>
      </w:r>
      <w:hyperlink r:id="rId9" w:history="1">
        <w:r>
          <w:rPr>
            <w:rFonts w:ascii="Calibri" w:hAnsi="Calibri" w:cs="Calibri"/>
            <w:color w:val="0000FF"/>
          </w:rPr>
          <w:t>подпункту "б" пункта 2 статьи 1</w:t>
        </w:r>
      </w:hyperlink>
      <w:r>
        <w:rPr>
          <w:rFonts w:ascii="Calibri" w:hAnsi="Calibri" w:cs="Calibri"/>
        </w:rPr>
        <w:t xml:space="preserve"> Федерального закона N 89-ФЗ кредитная организация не применяет контрольно-кассовую технику, за исключением случаев:</w:t>
      </w:r>
    </w:p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осуществления наличных денежных расчетов с использованием платежного терминала, не отражаемых ежедневно в бухгалтерском учете в соответствии с нормативными актами Центрального банка Российской Федерации;</w:t>
      </w:r>
    </w:p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осуществления наличных денежных расчетов с использованием платежного терминала, установленного за пределами помещения этой кредитной организации;</w:t>
      </w:r>
    </w:p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осуществления наличных денежных расчетов с использованием платежного терминала, не являющегося основным средством этой кредитной организации и не принадлежащего только ей на праве собственности.</w:t>
      </w:r>
    </w:p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Положениями Федерального </w:t>
      </w:r>
      <w:hyperlink r:id="rId1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N 54-ФЗ (в редакции Федерального закона N 89-ФЗ) не предусмотрено применение кредитной организацией контрольно-кассовой техники в случае осуществления наличных денежных расчетов с использованием банкомата.</w:t>
      </w:r>
    </w:p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proofErr w:type="gramStart"/>
      <w:r>
        <w:rPr>
          <w:rFonts w:ascii="Calibri" w:hAnsi="Calibri" w:cs="Calibri"/>
        </w:rPr>
        <w:t>связи</w:t>
      </w:r>
      <w:proofErr w:type="gramEnd"/>
      <w:r>
        <w:rPr>
          <w:rFonts w:ascii="Calibri" w:hAnsi="Calibri" w:cs="Calibri"/>
        </w:rPr>
        <w:t xml:space="preserve"> с чем Министерство финансов Российской Федерации письмом от 07.05.2014 N 03-01-15/21553 сообщило следующее.</w:t>
      </w:r>
    </w:p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целях квалификации таких автоматических устройств как "платежный терминал" и "банкомат" следует руководствоваться понятиями, установленными в </w:t>
      </w:r>
      <w:hyperlink r:id="rId11" w:history="1">
        <w:r>
          <w:rPr>
            <w:rFonts w:ascii="Calibri" w:hAnsi="Calibri" w:cs="Calibri"/>
            <w:color w:val="0000FF"/>
          </w:rPr>
          <w:t>пункте 1 статьи 1</w:t>
        </w:r>
      </w:hyperlink>
      <w:r>
        <w:rPr>
          <w:rFonts w:ascii="Calibri" w:hAnsi="Calibri" w:cs="Calibri"/>
        </w:rPr>
        <w:t xml:space="preserve"> Федерального закона N 54-ФЗ (в редакции Федерального закона N 89-ФЗ).</w:t>
      </w:r>
    </w:p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со </w:t>
      </w:r>
      <w:hyperlink r:id="rId12" w:history="1">
        <w:r>
          <w:rPr>
            <w:rFonts w:ascii="Calibri" w:hAnsi="Calibri" w:cs="Calibri"/>
            <w:color w:val="0000FF"/>
          </w:rPr>
          <w:t>статьей 1</w:t>
        </w:r>
      </w:hyperlink>
      <w:r>
        <w:rPr>
          <w:rFonts w:ascii="Calibri" w:hAnsi="Calibri" w:cs="Calibri"/>
        </w:rPr>
        <w:t xml:space="preserve"> Федерального закона N 54-ФЗ в редакции Федерального закона N 89-ФЗ банкомат - устройство для осуществления в автоматическом режиме (без участия уполномоченного лица кредитной организации или банковского платежного агента, банковского платежного субагента, осуществляющих деятельность в соответствии с законодательством о национальной платежной системе) выдачи и (или) приема средств наличного платежа (банкнот) с использованием платежных карт, наличных денежных расчетов</w:t>
      </w:r>
      <w:proofErr w:type="gramEnd"/>
      <w:r>
        <w:rPr>
          <w:rFonts w:ascii="Calibri" w:hAnsi="Calibri" w:cs="Calibri"/>
        </w:rPr>
        <w:t xml:space="preserve"> и (или) расчетов с использованием платежных карт, передачи распоряжений кредитной организации об осуществлении расчетов по поручению клиентов по их банковским счетам и для составления документов, подтверждающих передачу соответствующих распоряжений.</w:t>
      </w:r>
    </w:p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тех случаях, когда устройство выполняет исключительно функции банкомата в соответствии с положениями Федерального </w:t>
      </w:r>
      <w:hyperlink r:id="rId13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N 54-ФЗ (в редакции Федерального закона N 89-ФЗ), то такое устройство является банкоматом.</w:t>
      </w:r>
    </w:p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Однако</w:t>
      </w:r>
      <w:proofErr w:type="gramStart"/>
      <w:r>
        <w:rPr>
          <w:rFonts w:ascii="Calibri" w:hAnsi="Calibri" w:cs="Calibri"/>
        </w:rPr>
        <w:t>,</w:t>
      </w:r>
      <w:proofErr w:type="gramEnd"/>
      <w:r>
        <w:rPr>
          <w:rFonts w:ascii="Calibri" w:hAnsi="Calibri" w:cs="Calibri"/>
        </w:rPr>
        <w:t xml:space="preserve"> если устройство выполняет функции банкомата в соответствии с положениями Федерального </w:t>
      </w:r>
      <w:hyperlink r:id="rId14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N 54-ФЗ (в редакции Федерального закона N 89-ФЗ), но при этом позволяет осуществлять наличные денежные расчеты в автоматическом режиме (без участия уполномоченного лица организации или индивидуального предпринимателя, осуществляющих наличные денежные расчеты), то такое устройство в целях Федерального </w:t>
      </w:r>
      <w:hyperlink r:id="rId1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N 54-ФЗ (в редакции Федерального закона N 89-ФЗ) признается платежным терминалом и должно быть оборудовано контрольно-кассовой техникой.</w:t>
      </w:r>
    </w:p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Доведите настоящее письмо до территориальных налоговых органов и налогоплательщиков, а также обеспечьте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выполнением кредитными организациями требований Федерального </w:t>
      </w:r>
      <w:hyperlink r:id="rId1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N 54-ФЗ.</w:t>
      </w:r>
      <w:bookmarkStart w:id="0" w:name="_GoBack"/>
      <w:bookmarkEnd w:id="0"/>
    </w:p>
    <w:p w:rsidR="00984336" w:rsidRDefault="009843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84336" w:rsidRPr="00984336" w:rsidRDefault="009843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984336">
        <w:rPr>
          <w:rFonts w:ascii="Calibri" w:hAnsi="Calibri" w:cs="Calibri"/>
          <w:i/>
        </w:rPr>
        <w:t>Действительный</w:t>
      </w:r>
    </w:p>
    <w:p w:rsidR="00984336" w:rsidRPr="00984336" w:rsidRDefault="009843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984336">
        <w:rPr>
          <w:rFonts w:ascii="Calibri" w:hAnsi="Calibri" w:cs="Calibri"/>
          <w:i/>
        </w:rPr>
        <w:t>государственный советник</w:t>
      </w:r>
    </w:p>
    <w:p w:rsidR="00984336" w:rsidRPr="00984336" w:rsidRDefault="009843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984336">
        <w:rPr>
          <w:rFonts w:ascii="Calibri" w:hAnsi="Calibri" w:cs="Calibri"/>
          <w:i/>
        </w:rPr>
        <w:t>Российской Федерации</w:t>
      </w:r>
    </w:p>
    <w:p w:rsidR="00984336" w:rsidRPr="00984336" w:rsidRDefault="009843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984336">
        <w:rPr>
          <w:rFonts w:ascii="Calibri" w:hAnsi="Calibri" w:cs="Calibri"/>
          <w:i/>
        </w:rPr>
        <w:t>2 класса</w:t>
      </w:r>
    </w:p>
    <w:p w:rsidR="00984336" w:rsidRPr="00984336" w:rsidRDefault="0098433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984336">
        <w:rPr>
          <w:rFonts w:ascii="Calibri" w:hAnsi="Calibri" w:cs="Calibri"/>
          <w:i/>
        </w:rPr>
        <w:t>Д.В.ЕГОРОВ</w:t>
      </w:r>
    </w:p>
    <w:p w:rsidR="00984336" w:rsidRPr="00984336" w:rsidRDefault="009843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i/>
        </w:rPr>
      </w:pPr>
    </w:p>
    <w:sectPr w:rsidR="00984336" w:rsidRPr="00984336" w:rsidSect="00121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336"/>
    <w:rsid w:val="003A4A60"/>
    <w:rsid w:val="0098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0C14FEB268AE82D664ECF37C50D1B024C8A180E21C075D417162F6C8m906I" TargetMode="External"/><Relationship Id="rId13" Type="http://schemas.openxmlformats.org/officeDocument/2006/relationships/hyperlink" Target="consultantplus://offline/ref=080C14FEB268AE82D664ECF37C50D1B024C8A180E21C075D417162F6C89632577FB4FACCm80A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80C14FEB268AE82D664ECF37C50D1B024C9A089E41C075D417162F6C8m906I" TargetMode="External"/><Relationship Id="rId12" Type="http://schemas.openxmlformats.org/officeDocument/2006/relationships/hyperlink" Target="consultantplus://offline/ref=080C14FEB268AE82D664ECF37C50D1B024C8A180E21C075D417162F6C89632577FB4FACCm80AI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80C14FEB268AE82D664ECF37C50D1B024C8A180E21C075D417162F6C8m906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80C14FEB268AE82D664ECF37C50D1B024CBAF81E61D075D417162F6C89632577FB4FAC88FB22F07m308I" TargetMode="External"/><Relationship Id="rId11" Type="http://schemas.openxmlformats.org/officeDocument/2006/relationships/hyperlink" Target="consultantplus://offline/ref=080C14FEB268AE82D664ECF37C50D1B024C8A180E21C075D417162F6C89632577FB4FAC88FB22F07m304I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080C14FEB268AE82D664ECF37C50D1B024C8A180E21C075D417162F6C89632577FB4FAmC08I" TargetMode="External"/><Relationship Id="rId10" Type="http://schemas.openxmlformats.org/officeDocument/2006/relationships/hyperlink" Target="consultantplus://offline/ref=080C14FEB268AE82D664ECF37C50D1B024C8A180E21C075D417162F6C8m906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80C14FEB268AE82D664ECF37C50D1B024C9A089E41C075D417162F6C89632577FB4FAC88FB22F06m309I" TargetMode="External"/><Relationship Id="rId14" Type="http://schemas.openxmlformats.org/officeDocument/2006/relationships/hyperlink" Target="consultantplus://offline/ref=080C14FEB268AE82D664ECF37C50D1B024C8A180E21C075D417162F6C89632577FB4FACCm80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Александр Николаевич</dc:creator>
  <cp:lastModifiedBy>Иванов Александр Николаевич</cp:lastModifiedBy>
  <cp:revision>1</cp:revision>
  <dcterms:created xsi:type="dcterms:W3CDTF">2014-11-11T08:52:00Z</dcterms:created>
  <dcterms:modified xsi:type="dcterms:W3CDTF">2014-11-11T08:53:00Z</dcterms:modified>
</cp:coreProperties>
</file>